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959"/>
        <w:gridCol w:w="11"/>
        <w:gridCol w:w="1378"/>
        <w:gridCol w:w="1387"/>
        <w:gridCol w:w="1416"/>
        <w:gridCol w:w="2599"/>
      </w:tblGrid>
      <w:tr w:rsidR="008D1BA7" w:rsidRPr="008D1BA7" w:rsidTr="00065C07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765892" w:rsidRPr="008D1BA7" w:rsidRDefault="00765892" w:rsidP="00EA2F49">
            <w:pPr>
              <w:spacing w:before="240"/>
              <w:jc w:val="both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Bisher</w:t>
            </w: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892" w:rsidRPr="008D1BA7" w:rsidRDefault="00765892" w:rsidP="007873D7">
            <w:pPr>
              <w:spacing w:before="240"/>
              <w:jc w:val="both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Änderungsvorschlag</w:t>
            </w:r>
          </w:p>
        </w:tc>
      </w:tr>
      <w:tr w:rsidR="00046CE5" w:rsidRPr="008D1BA7" w:rsidTr="00065C07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046CE5" w:rsidRPr="008D1BA7" w:rsidRDefault="00046CE5" w:rsidP="00E1390C">
            <w:pPr>
              <w:spacing w:before="240"/>
              <w:jc w:val="both"/>
              <w:rPr>
                <w:b/>
                <w:color w:val="auto"/>
                <w:sz w:val="20"/>
                <w:szCs w:val="20"/>
              </w:rPr>
            </w:pPr>
            <w:r w:rsidRPr="008D1BA7">
              <w:rPr>
                <w:rFonts w:eastAsia="Times New Roman"/>
                <w:b/>
                <w:color w:val="auto"/>
                <w:sz w:val="20"/>
                <w:szCs w:val="20"/>
              </w:rPr>
              <w:t>§ 5a  Datenschutz</w:t>
            </w:r>
          </w:p>
          <w:p w:rsidR="00046CE5" w:rsidRPr="008D1BA7" w:rsidRDefault="00046CE5" w:rsidP="00E1390C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D1BA7">
              <w:rPr>
                <w:rFonts w:eastAsia="Times New Roman"/>
                <w:color w:val="auto"/>
                <w:sz w:val="20"/>
                <w:szCs w:val="20"/>
              </w:rPr>
              <w:t>Der Schutz personenbezogener Mitgliederdaten ist uns wichtig, vor allem im Hinblick auf die Wahrung des Persönlichkeitsrechts der Mitglieder. Wir informieren über Datenschutzerklärung und weitere Datenschutzmitteilungen auf unserer Website.</w:t>
            </w:r>
          </w:p>
          <w:p w:rsidR="00046CE5" w:rsidRPr="008D1BA7" w:rsidRDefault="00046CE5" w:rsidP="00E1390C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D1BA7">
              <w:rPr>
                <w:rFonts w:eastAsia="Times New Roman"/>
                <w:color w:val="auto"/>
                <w:sz w:val="20"/>
                <w:szCs w:val="20"/>
              </w:rPr>
              <w:t xml:space="preserve">Wir </w:t>
            </w:r>
            <w:proofErr w:type="spellStart"/>
            <w:r w:rsidRPr="008D1BA7">
              <w:rPr>
                <w:rFonts w:eastAsia="Times New Roman"/>
                <w:color w:val="auto"/>
                <w:sz w:val="20"/>
                <w:szCs w:val="20"/>
              </w:rPr>
              <w:t>Fühlinger</w:t>
            </w:r>
            <w:proofErr w:type="spellEnd"/>
            <w:r w:rsidRPr="008D1BA7">
              <w:rPr>
                <w:rFonts w:eastAsia="Times New Roman"/>
                <w:color w:val="auto"/>
                <w:sz w:val="20"/>
                <w:szCs w:val="20"/>
              </w:rPr>
              <w:t xml:space="preserve"> e.V. erhebt und verarbeitet personenbezogene Daten ausschließlich in gesetzlich zulässiger Weise. Die Weiterverarbeitung überlassener Daten erfolgt ausschließlich zu dem Zweck, für den die Mitglieder diese Daten an Wir </w:t>
            </w:r>
            <w:proofErr w:type="spellStart"/>
            <w:r w:rsidRPr="008D1BA7">
              <w:rPr>
                <w:rFonts w:eastAsia="Times New Roman"/>
                <w:color w:val="auto"/>
                <w:sz w:val="20"/>
                <w:szCs w:val="20"/>
              </w:rPr>
              <w:t>Fühlinger</w:t>
            </w:r>
            <w:proofErr w:type="spellEnd"/>
            <w:r w:rsidRPr="008D1BA7">
              <w:rPr>
                <w:rFonts w:eastAsia="Times New Roman"/>
                <w:color w:val="auto"/>
                <w:sz w:val="20"/>
                <w:szCs w:val="20"/>
              </w:rPr>
              <w:t xml:space="preserve"> überlassen haben bzw. zu den gesetzlich erlaubten Zwecken.</w:t>
            </w:r>
          </w:p>
          <w:p w:rsidR="00046CE5" w:rsidRPr="008D1BA7" w:rsidRDefault="00046CE5" w:rsidP="00E1390C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D1BA7">
              <w:rPr>
                <w:rFonts w:eastAsia="Times New Roman"/>
                <w:color w:val="auto"/>
                <w:sz w:val="20"/>
                <w:szCs w:val="20"/>
              </w:rPr>
              <w:t>Informationen der Mitglieder erfolgen durch Aushang im Schaukasten, Veröffentlichung auf der Web-Seite des Vereins.</w:t>
            </w: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CE5" w:rsidRPr="008D1BA7" w:rsidRDefault="00046CE5" w:rsidP="007873D7">
            <w:pPr>
              <w:spacing w:before="24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§ 6</w:t>
            </w:r>
            <w:r w:rsidRPr="008D1BA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 Datenschutz</w:t>
            </w:r>
          </w:p>
          <w:p w:rsidR="00A70C98" w:rsidRDefault="00046CE5" w:rsidP="00A70C98">
            <w:pPr>
              <w:pStyle w:val="Listenabsatz"/>
              <w:numPr>
                <w:ilvl w:val="0"/>
                <w:numId w:val="5"/>
              </w:numPr>
              <w:spacing w:before="120"/>
              <w:ind w:left="340" w:hanging="34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046CE5">
              <w:rPr>
                <w:rFonts w:eastAsia="Times New Roman"/>
                <w:color w:val="auto"/>
                <w:sz w:val="20"/>
                <w:szCs w:val="20"/>
              </w:rPr>
              <w:t xml:space="preserve">Wir </w:t>
            </w:r>
            <w:proofErr w:type="spellStart"/>
            <w:r w:rsidRPr="00046CE5">
              <w:rPr>
                <w:rFonts w:eastAsia="Times New Roman"/>
                <w:color w:val="auto"/>
                <w:sz w:val="20"/>
                <w:szCs w:val="20"/>
              </w:rPr>
              <w:t>Fühlinger</w:t>
            </w:r>
            <w:proofErr w:type="spellEnd"/>
            <w:r w:rsidRPr="00046CE5">
              <w:rPr>
                <w:rFonts w:eastAsia="Times New Roman"/>
                <w:color w:val="auto"/>
                <w:sz w:val="20"/>
                <w:szCs w:val="20"/>
              </w:rPr>
              <w:t xml:space="preserve"> e.V. erhebt und verarbeitet personenbezogene Daten ausschließlich gemäß den gesetzlichen Regelungen. Die Weiterverarbeitung überlassener Daten durch den Verein erfolgt nur zu dem Zweck, für den die Daten an "Wir </w:t>
            </w:r>
            <w:proofErr w:type="spellStart"/>
            <w:r w:rsidRPr="00046CE5">
              <w:rPr>
                <w:rFonts w:eastAsia="Times New Roman"/>
                <w:color w:val="auto"/>
                <w:sz w:val="20"/>
                <w:szCs w:val="20"/>
              </w:rPr>
              <w:t>Fühlinger</w:t>
            </w:r>
            <w:proofErr w:type="spellEnd"/>
            <w:r w:rsidRPr="00046CE5">
              <w:rPr>
                <w:rFonts w:eastAsia="Times New Roman"/>
                <w:color w:val="auto"/>
                <w:sz w:val="20"/>
                <w:szCs w:val="20"/>
              </w:rPr>
              <w:t xml:space="preserve">" übermittelt wurden. </w:t>
            </w:r>
          </w:p>
          <w:p w:rsidR="00046CE5" w:rsidRPr="00065C07" w:rsidRDefault="00046CE5" w:rsidP="00A70C98">
            <w:pPr>
              <w:pStyle w:val="Listenabsatz"/>
              <w:numPr>
                <w:ilvl w:val="0"/>
                <w:numId w:val="5"/>
              </w:numPr>
              <w:spacing w:before="120"/>
              <w:ind w:left="340" w:hanging="34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50030">
              <w:rPr>
                <w:rFonts w:eastAsia="Times New Roman"/>
                <w:color w:val="auto"/>
                <w:sz w:val="20"/>
                <w:szCs w:val="20"/>
              </w:rPr>
              <w:t>Einzelheiten zur Datenverarbeitung können der auf der Webseite zugänglichen Datenschutzerklärung sowie dem vereinseigenen Aushang i</w:t>
            </w:r>
            <w:r w:rsidR="00065C07">
              <w:rPr>
                <w:rFonts w:eastAsia="Times New Roman"/>
                <w:color w:val="auto"/>
                <w:sz w:val="20"/>
                <w:szCs w:val="20"/>
              </w:rPr>
              <w:t>m Schaukasten entnommen werden.</w:t>
            </w:r>
          </w:p>
        </w:tc>
        <w:bookmarkStart w:id="0" w:name="_GoBack"/>
        <w:bookmarkEnd w:id="0"/>
      </w:tr>
      <w:tr w:rsidR="00046CE5" w:rsidRPr="008D1BA7" w:rsidTr="00065C07">
        <w:trPr>
          <w:gridAfter w:val="1"/>
          <w:wAfter w:w="2599" w:type="dxa"/>
          <w:trHeight w:val="99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CE5" w:rsidRPr="008D1BA7" w:rsidRDefault="00046CE5" w:rsidP="00065C07">
            <w:pPr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6CE5" w:rsidRPr="008D1BA7" w:rsidRDefault="00046CE5" w:rsidP="00065C07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Ja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6CE5" w:rsidRPr="008D1BA7" w:rsidRDefault="00046CE5" w:rsidP="00065C07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Nein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6CE5" w:rsidRPr="008D1BA7" w:rsidRDefault="00046CE5" w:rsidP="00065C07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Enthaltung</w:t>
            </w:r>
          </w:p>
        </w:tc>
      </w:tr>
      <w:tr w:rsidR="00046CE5" w:rsidRPr="00065C07" w:rsidTr="00065C07">
        <w:trPr>
          <w:gridAfter w:val="1"/>
          <w:wAfter w:w="2599" w:type="dxa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6CE5" w:rsidRPr="00065C07" w:rsidRDefault="00046CE5" w:rsidP="00065C07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CE5" w:rsidRPr="00065C07" w:rsidRDefault="00046CE5" w:rsidP="00065C07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CE5" w:rsidRPr="00065C07" w:rsidRDefault="00046CE5" w:rsidP="00065C07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CE5" w:rsidRPr="00065C07" w:rsidRDefault="00046CE5" w:rsidP="00065C07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065C07" w:rsidRPr="003A736C" w:rsidTr="003A736C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787C40" w:rsidRPr="003A736C" w:rsidRDefault="00787C40" w:rsidP="00787C40">
            <w:pPr>
              <w:spacing w:after="120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5C07" w:rsidRPr="003A736C" w:rsidRDefault="003A736C" w:rsidP="00787C40">
            <w:pPr>
              <w:spacing w:before="240" w:after="240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i/>
                <w:color w:val="auto"/>
                <w:sz w:val="20"/>
                <w:szCs w:val="20"/>
              </w:rPr>
              <w:t>§§ 6-9 verschieben sich jeweils um eine Ziffer</w:t>
            </w:r>
          </w:p>
        </w:tc>
      </w:tr>
    </w:tbl>
    <w:p w:rsidR="00065C07" w:rsidRPr="003A736C" w:rsidRDefault="00065C07" w:rsidP="003A736C">
      <w:pPr>
        <w:spacing w:line="240" w:lineRule="auto"/>
        <w:jc w:val="both"/>
        <w:rPr>
          <w:rFonts w:eastAsia="Times New Roman"/>
          <w:b/>
          <w:color w:val="FF0000"/>
          <w:sz w:val="8"/>
          <w:szCs w:val="8"/>
        </w:rPr>
      </w:pPr>
    </w:p>
    <w:tbl>
      <w:tblPr>
        <w:tblStyle w:val="Tabellenraster1"/>
        <w:tblW w:w="0" w:type="auto"/>
        <w:tblInd w:w="817" w:type="dxa"/>
        <w:tblLook w:val="04A0" w:firstRow="1" w:lastRow="0" w:firstColumn="1" w:lastColumn="0" w:noHBand="0" w:noVBand="1"/>
      </w:tblPr>
      <w:tblGrid>
        <w:gridCol w:w="6959"/>
        <w:gridCol w:w="6791"/>
      </w:tblGrid>
      <w:tr w:rsidR="00065C07" w:rsidRPr="003A736C" w:rsidTr="00E1390C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3A736C" w:rsidRDefault="003A736C" w:rsidP="003A736C">
            <w:pPr>
              <w:spacing w:after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A736C">
              <w:rPr>
                <w:rFonts w:eastAsia="Times New Roman"/>
                <w:b/>
                <w:sz w:val="20"/>
                <w:szCs w:val="20"/>
              </w:rPr>
              <w:t>§ 11 Vorstand</w:t>
            </w:r>
          </w:p>
          <w:p w:rsidR="00065C07" w:rsidRPr="003A736C" w:rsidRDefault="00065C07" w:rsidP="003A736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A736C">
              <w:rPr>
                <w:rFonts w:eastAsia="Times New Roman"/>
                <w:sz w:val="20"/>
                <w:szCs w:val="20"/>
              </w:rPr>
              <w:t>(1) Der Vorstand (Gesamtvorstand) besteht aus</w:t>
            </w:r>
          </w:p>
          <w:p w:rsidR="00065C07" w:rsidRPr="003A736C" w:rsidRDefault="00065C07" w:rsidP="003A736C">
            <w:pPr>
              <w:numPr>
                <w:ilvl w:val="0"/>
                <w:numId w:val="3"/>
              </w:numPr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2 geschäftsführenden Vorsitzenden</w:t>
            </w:r>
          </w:p>
          <w:p w:rsidR="00065C07" w:rsidRPr="003A736C" w:rsidRDefault="00065C07" w:rsidP="003A736C">
            <w:pPr>
              <w:numPr>
                <w:ilvl w:val="1"/>
                <w:numId w:val="3"/>
              </w:numPr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Zuständig für die Gesamtvereinsbelange</w:t>
            </w:r>
          </w:p>
          <w:p w:rsidR="00065C07" w:rsidRPr="003A736C" w:rsidRDefault="00065C07" w:rsidP="003A736C">
            <w:pPr>
              <w:numPr>
                <w:ilvl w:val="2"/>
                <w:numId w:val="3"/>
              </w:numPr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Vereinssteuerung und Finanzen</w:t>
            </w:r>
          </w:p>
          <w:p w:rsidR="00065C07" w:rsidRPr="003A736C" w:rsidRDefault="00065C07" w:rsidP="003A736C">
            <w:pPr>
              <w:numPr>
                <w:ilvl w:val="0"/>
                <w:numId w:val="3"/>
              </w:numPr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erweitertem Vorstand</w:t>
            </w:r>
          </w:p>
          <w:p w:rsidR="00065C07" w:rsidRPr="003A736C" w:rsidRDefault="00065C07" w:rsidP="003A736C">
            <w:pPr>
              <w:numPr>
                <w:ilvl w:val="1"/>
                <w:numId w:val="3"/>
              </w:numPr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Zuständig für die Bereichsbelange</w:t>
            </w:r>
          </w:p>
          <w:p w:rsidR="00065C07" w:rsidRPr="00787C40" w:rsidRDefault="00065C07" w:rsidP="003A736C">
            <w:pPr>
              <w:numPr>
                <w:ilvl w:val="2"/>
                <w:numId w:val="3"/>
              </w:numPr>
              <w:contextualSpacing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z.Zt. Vorstand Bürgerbüro, Vorstand Kinder und Jugend, Vorstand Kommunikation. Zukünftige Erweiterungen bedürfen der Zustimmung der nächsten Mitgliederversammlung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3A736C" w:rsidRPr="003A736C" w:rsidRDefault="003A736C" w:rsidP="003A736C">
            <w:pPr>
              <w:spacing w:after="12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§ 11  Vorstand</w:t>
            </w:r>
          </w:p>
          <w:p w:rsidR="00A70C98" w:rsidRDefault="003A736C" w:rsidP="003A736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A736C">
              <w:rPr>
                <w:rFonts w:eastAsia="Times New Roman"/>
                <w:color w:val="auto"/>
                <w:sz w:val="20"/>
                <w:szCs w:val="20"/>
              </w:rPr>
              <w:t>(1</w:t>
            </w:r>
            <w:r w:rsidR="00F51F2F">
              <w:rPr>
                <w:rFonts w:eastAsia="Times New Roman"/>
                <w:color w:val="auto"/>
                <w:sz w:val="20"/>
                <w:szCs w:val="20"/>
              </w:rPr>
              <w:t xml:space="preserve">) Der Vorstand </w:t>
            </w:r>
            <w:r w:rsidRPr="003A736C">
              <w:rPr>
                <w:rFonts w:eastAsia="Times New Roman"/>
                <w:color w:val="auto"/>
                <w:sz w:val="20"/>
                <w:szCs w:val="20"/>
              </w:rPr>
              <w:t>besteht aus</w:t>
            </w:r>
            <w:r w:rsidR="00A70C9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3A736C">
              <w:rPr>
                <w:rFonts w:eastAsia="Times New Roman"/>
                <w:color w:val="auto"/>
                <w:sz w:val="20"/>
                <w:szCs w:val="20"/>
              </w:rPr>
              <w:t>zwei geschäft</w:t>
            </w:r>
            <w:r w:rsidR="00A70C98">
              <w:rPr>
                <w:rFonts w:eastAsia="Times New Roman"/>
                <w:color w:val="auto"/>
                <w:sz w:val="20"/>
                <w:szCs w:val="20"/>
              </w:rPr>
              <w:t xml:space="preserve">sführenden Vorsitzenden und </w:t>
            </w:r>
            <w:r w:rsidRPr="00A70C98">
              <w:rPr>
                <w:rFonts w:eastAsia="Times New Roman"/>
                <w:color w:val="auto"/>
                <w:sz w:val="20"/>
                <w:szCs w:val="20"/>
              </w:rPr>
              <w:t>einem weiteren Vors</w:t>
            </w:r>
            <w:r w:rsidR="00A70C98">
              <w:rPr>
                <w:rFonts w:eastAsia="Times New Roman"/>
                <w:color w:val="auto"/>
                <w:sz w:val="20"/>
                <w:szCs w:val="20"/>
              </w:rPr>
              <w:t xml:space="preserve">tandsmitglied. </w:t>
            </w:r>
          </w:p>
          <w:p w:rsidR="003A736C" w:rsidRPr="003A736C" w:rsidRDefault="00A70C98" w:rsidP="003A736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br/>
            </w:r>
            <w:r w:rsidR="003A736C" w:rsidRPr="003A736C">
              <w:rPr>
                <w:rFonts w:eastAsia="Times New Roman"/>
                <w:color w:val="auto"/>
                <w:sz w:val="20"/>
                <w:szCs w:val="20"/>
              </w:rPr>
              <w:t>Der Vorstand kann weitere vom Satzungszweck erfasst</w:t>
            </w:r>
            <w:r w:rsidR="00F51F2F">
              <w:rPr>
                <w:rFonts w:eastAsia="Times New Roman"/>
                <w:color w:val="auto"/>
                <w:sz w:val="20"/>
                <w:szCs w:val="20"/>
              </w:rPr>
              <w:t>e Zuständigkeitsbereiche (Teams, Arbeitsgruppen oder Projekte) durch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Beschluss festlegen.</w:t>
            </w:r>
          </w:p>
          <w:p w:rsidR="00065C07" w:rsidRPr="003A736C" w:rsidRDefault="00065C07" w:rsidP="003A736C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970"/>
        <w:gridCol w:w="1378"/>
        <w:gridCol w:w="1387"/>
        <w:gridCol w:w="1416"/>
      </w:tblGrid>
      <w:tr w:rsidR="003A736C" w:rsidRPr="008D1BA7" w:rsidTr="00E1390C">
        <w:trPr>
          <w:trHeight w:val="99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3A736C" w:rsidRPr="008D1BA7" w:rsidRDefault="003A736C" w:rsidP="00E1390C">
            <w:pPr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736C" w:rsidRPr="008D1BA7" w:rsidRDefault="003A736C" w:rsidP="00E1390C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Ja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736C" w:rsidRPr="008D1BA7" w:rsidRDefault="003A736C" w:rsidP="00E1390C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Nein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736C" w:rsidRPr="008D1BA7" w:rsidRDefault="003A736C" w:rsidP="00E1390C">
            <w:pPr>
              <w:jc w:val="center"/>
              <w:rPr>
                <w:rFonts w:eastAsia="Times New Roman"/>
                <w:b/>
                <w:color w:val="auto"/>
              </w:rPr>
            </w:pPr>
            <w:r w:rsidRPr="008D1BA7">
              <w:rPr>
                <w:rFonts w:eastAsia="Times New Roman"/>
                <w:b/>
                <w:color w:val="auto"/>
              </w:rPr>
              <w:t>Enthaltung</w:t>
            </w:r>
          </w:p>
        </w:tc>
      </w:tr>
      <w:tr w:rsidR="003A736C" w:rsidRPr="00065C07" w:rsidTr="00E1390C">
        <w:tc>
          <w:tcPr>
            <w:tcW w:w="69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736C" w:rsidRPr="00065C07" w:rsidRDefault="003A736C" w:rsidP="00E1390C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36C" w:rsidRPr="00065C07" w:rsidRDefault="003A736C" w:rsidP="00E1390C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36C" w:rsidRPr="00065C07" w:rsidRDefault="003A736C" w:rsidP="00E1390C">
            <w:pPr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36C" w:rsidRPr="00065C07" w:rsidRDefault="003A736C" w:rsidP="00E1390C">
            <w:pPr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E82F6D" w:rsidRPr="001C79C8" w:rsidRDefault="00787C40" w:rsidP="00CD1FE5">
      <w:pPr>
        <w:spacing w:before="240" w:line="240" w:lineRule="auto"/>
        <w:jc w:val="center"/>
        <w:rPr>
          <w:rFonts w:eastAsia="Times New Roman"/>
        </w:rPr>
      </w:pPr>
      <w:r w:rsidRPr="00787C40">
        <w:rPr>
          <w:rFonts w:eastAsia="Times New Roman"/>
        </w:rPr>
        <w:t>In § 14 Abs. 2  wird im Klammerzusatz " § 9" durch "§10" ersetzt.</w:t>
      </w:r>
      <w:r>
        <w:rPr>
          <w:rFonts w:eastAsia="Times New Roman"/>
        </w:rPr>
        <w:t xml:space="preserve"> </w:t>
      </w:r>
      <w:r w:rsidRPr="00787C40">
        <w:rPr>
          <w:rFonts w:eastAsia="Times New Roman"/>
        </w:rPr>
        <w:t>Begründung:</w:t>
      </w:r>
      <w:r>
        <w:rPr>
          <w:rFonts w:eastAsia="Times New Roman"/>
        </w:rPr>
        <w:t xml:space="preserve"> </w:t>
      </w:r>
      <w:r w:rsidRPr="00787C40">
        <w:rPr>
          <w:rFonts w:eastAsia="Times New Roman"/>
        </w:rPr>
        <w:t>Anpassung der Verw</w:t>
      </w:r>
      <w:r w:rsidR="00CD1FE5">
        <w:rPr>
          <w:rFonts w:eastAsia="Times New Roman"/>
        </w:rPr>
        <w:t>eisung an die geänderte Paragraph</w:t>
      </w:r>
      <w:r w:rsidRPr="00787C40">
        <w:rPr>
          <w:rFonts w:eastAsia="Times New Roman"/>
        </w:rPr>
        <w:t>enfolge</w:t>
      </w:r>
      <w:r w:rsidR="00CD1FE5">
        <w:rPr>
          <w:rFonts w:eastAsia="Times New Roman"/>
        </w:rPr>
        <w:t>.</w:t>
      </w:r>
    </w:p>
    <w:sectPr w:rsidR="00E82F6D" w:rsidRPr="001C79C8" w:rsidSect="00787C40">
      <w:headerReference w:type="default" r:id="rId8"/>
      <w:footerReference w:type="default" r:id="rId9"/>
      <w:pgSz w:w="16838" w:h="11906" w:orient="landscape" w:code="9"/>
      <w:pgMar w:top="1134" w:right="510" w:bottom="1134" w:left="964" w:header="56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5" w:rsidRDefault="002E5A25">
      <w:pPr>
        <w:spacing w:line="240" w:lineRule="auto"/>
      </w:pPr>
      <w:r>
        <w:separator/>
      </w:r>
    </w:p>
  </w:endnote>
  <w:endnote w:type="continuationSeparator" w:id="0">
    <w:p w:rsidR="002E5A25" w:rsidRDefault="002E5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6520"/>
      <w:docPartObj>
        <w:docPartGallery w:val="Page Numbers (Bottom of Page)"/>
        <w:docPartUnique/>
      </w:docPartObj>
    </w:sdtPr>
    <w:sdtEndPr/>
    <w:sdtContent>
      <w:p w:rsidR="00CD7C18" w:rsidRDefault="00CD7C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E5">
          <w:rPr>
            <w:noProof/>
          </w:rPr>
          <w:t>1</w:t>
        </w:r>
        <w:r>
          <w:fldChar w:fldCharType="end"/>
        </w:r>
      </w:p>
    </w:sdtContent>
  </w:sdt>
  <w:p w:rsidR="00867002" w:rsidRDefault="00867002">
    <w:pPr>
      <w:spacing w:after="39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5" w:rsidRDefault="002E5A25">
      <w:pPr>
        <w:spacing w:line="240" w:lineRule="auto"/>
      </w:pPr>
      <w:r>
        <w:separator/>
      </w:r>
    </w:p>
  </w:footnote>
  <w:footnote w:type="continuationSeparator" w:id="0">
    <w:p w:rsidR="002E5A25" w:rsidRDefault="002E5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2" w:rsidRPr="002D04BA" w:rsidRDefault="0020061B" w:rsidP="00172502">
    <w:pPr>
      <w:tabs>
        <w:tab w:val="center" w:pos="4536"/>
        <w:tab w:val="right" w:pos="9072"/>
      </w:tabs>
      <w:spacing w:before="120" w:line="240" w:lineRule="auto"/>
      <w:jc w:val="center"/>
      <w:rPr>
        <w:rFonts w:ascii="Century Gothic" w:eastAsia="Cambria" w:hAnsi="Century Gothic" w:cs="Cambria"/>
        <w:sz w:val="32"/>
        <w:szCs w:val="32"/>
      </w:rPr>
    </w:pPr>
    <w:r w:rsidRPr="002D04BA">
      <w:rPr>
        <w:rFonts w:ascii="Century Gothic" w:eastAsia="Cambria" w:hAnsi="Century Gothic" w:cs="Cambria"/>
        <w:sz w:val="32"/>
        <w:szCs w:val="32"/>
      </w:rPr>
      <w:t>Satzung</w:t>
    </w:r>
    <w:r w:rsidR="00932C36" w:rsidRPr="002D04BA">
      <w:rPr>
        <w:rFonts w:ascii="Century Gothic" w:eastAsia="Cambria" w:hAnsi="Century Gothic" w:cs="Cambria"/>
        <w:sz w:val="32"/>
        <w:szCs w:val="32"/>
      </w:rPr>
      <w:t xml:space="preserve"> </w:t>
    </w:r>
    <w:r w:rsidR="00E82F6D">
      <w:rPr>
        <w:rFonts w:ascii="Century Gothic" w:eastAsia="Cambria" w:hAnsi="Century Gothic" w:cs="Cambria"/>
        <w:sz w:val="32"/>
        <w:szCs w:val="32"/>
      </w:rPr>
      <w:t xml:space="preserve">    </w:t>
    </w:r>
    <w:r w:rsidR="00932C36" w:rsidRPr="002D04BA">
      <w:rPr>
        <w:rFonts w:ascii="Century Gothic" w:eastAsia="Cambria" w:hAnsi="Century Gothic" w:cs="Cambria"/>
        <w:sz w:val="32"/>
        <w:szCs w:val="32"/>
      </w:rPr>
      <w:t xml:space="preserve">„Wir </w:t>
    </w:r>
    <w:proofErr w:type="spellStart"/>
    <w:r w:rsidR="00932C36" w:rsidRPr="002D04BA">
      <w:rPr>
        <w:rFonts w:ascii="Century Gothic" w:eastAsia="Cambria" w:hAnsi="Century Gothic" w:cs="Cambria"/>
        <w:sz w:val="32"/>
        <w:szCs w:val="32"/>
      </w:rPr>
      <w:t>Fühlinger</w:t>
    </w:r>
    <w:proofErr w:type="spellEnd"/>
    <w:r w:rsidR="00932C36" w:rsidRPr="002D04BA">
      <w:rPr>
        <w:rFonts w:ascii="Century Gothic" w:eastAsia="Cambria" w:hAnsi="Century Gothic" w:cs="Cambria"/>
        <w:sz w:val="32"/>
        <w:szCs w:val="32"/>
      </w:rPr>
      <w:t xml:space="preserve"> e.V.“ </w:t>
    </w:r>
    <w:r w:rsidR="00172502">
      <w:rPr>
        <w:rFonts w:ascii="Century Gothic" w:eastAsia="Cambria" w:hAnsi="Century Gothic" w:cs="Cambria"/>
        <w:sz w:val="32"/>
        <w:szCs w:val="32"/>
      </w:rPr>
      <w:t>Geänderte Fassung</w:t>
    </w:r>
    <w:r w:rsidRPr="002D04BA">
      <w:rPr>
        <w:rFonts w:ascii="Century Gothic" w:eastAsia="Cambria" w:hAnsi="Century Gothic" w:cs="Cambria"/>
        <w:sz w:val="32"/>
        <w:szCs w:val="32"/>
      </w:rPr>
      <w:br/>
    </w:r>
    <w:r w:rsidR="002D04BA" w:rsidRPr="002D04BA">
      <w:rPr>
        <w:rFonts w:ascii="Century Gothic" w:eastAsia="Cambria" w:hAnsi="Century Gothic" w:cs="Cambria"/>
        <w:sz w:val="32"/>
        <w:szCs w:val="32"/>
      </w:rPr>
      <w:t xml:space="preserve">Beschluss </w:t>
    </w:r>
    <w:r w:rsidR="00172502">
      <w:rPr>
        <w:rFonts w:ascii="Century Gothic" w:eastAsia="Cambria" w:hAnsi="Century Gothic" w:cs="Cambria"/>
        <w:sz w:val="32"/>
        <w:szCs w:val="32"/>
      </w:rPr>
      <w:t xml:space="preserve">der </w:t>
    </w:r>
    <w:r w:rsidR="002D04BA" w:rsidRPr="002D04BA">
      <w:rPr>
        <w:rFonts w:ascii="Century Gothic" w:eastAsia="Cambria" w:hAnsi="Century Gothic" w:cs="Cambria"/>
        <w:sz w:val="32"/>
        <w:szCs w:val="32"/>
      </w:rPr>
      <w:t>Mitglieder</w:t>
    </w:r>
    <w:r w:rsidRPr="002D04BA">
      <w:rPr>
        <w:rFonts w:ascii="Century Gothic" w:eastAsia="Cambria" w:hAnsi="Century Gothic" w:cs="Cambria"/>
        <w:sz w:val="32"/>
        <w:szCs w:val="32"/>
      </w:rPr>
      <w:t>versammlung</w:t>
    </w:r>
    <w:r w:rsidR="00172502">
      <w:rPr>
        <w:rFonts w:ascii="Century Gothic" w:eastAsia="Cambria" w:hAnsi="Century Gothic" w:cs="Cambria"/>
        <w:sz w:val="32"/>
        <w:szCs w:val="32"/>
      </w:rPr>
      <w:t xml:space="preserve"> vom</w:t>
    </w:r>
    <w:r w:rsidRPr="002D04BA">
      <w:rPr>
        <w:rFonts w:ascii="Century Gothic" w:eastAsia="Cambria" w:hAnsi="Century Gothic" w:cs="Cambria"/>
        <w:sz w:val="32"/>
        <w:szCs w:val="32"/>
      </w:rPr>
      <w:t xml:space="preserve"> </w:t>
    </w:r>
    <w:r w:rsidR="00046CE5">
      <w:rPr>
        <w:rFonts w:ascii="Century Gothic" w:eastAsia="Cambria" w:hAnsi="Century Gothic" w:cs="Cambria"/>
        <w:b/>
        <w:color w:val="auto"/>
        <w:sz w:val="32"/>
        <w:szCs w:val="32"/>
      </w:rPr>
      <w:t>19</w:t>
    </w:r>
    <w:r w:rsidR="00932C36" w:rsidRPr="008C41EC">
      <w:rPr>
        <w:rFonts w:ascii="Century Gothic" w:eastAsia="Cambria" w:hAnsi="Century Gothic" w:cs="Cambria"/>
        <w:b/>
        <w:color w:val="auto"/>
        <w:sz w:val="32"/>
        <w:szCs w:val="32"/>
      </w:rPr>
      <w:t>.</w:t>
    </w:r>
    <w:r w:rsidR="002D04BA" w:rsidRPr="008C41EC">
      <w:rPr>
        <w:rFonts w:ascii="Century Gothic" w:eastAsia="Cambria" w:hAnsi="Century Gothic" w:cs="Cambria"/>
        <w:b/>
        <w:color w:val="auto"/>
        <w:sz w:val="32"/>
        <w:szCs w:val="32"/>
      </w:rPr>
      <w:t>0</w:t>
    </w:r>
    <w:r w:rsidR="00046CE5">
      <w:rPr>
        <w:rFonts w:ascii="Century Gothic" w:eastAsia="Cambria" w:hAnsi="Century Gothic" w:cs="Cambria"/>
        <w:b/>
        <w:color w:val="auto"/>
        <w:sz w:val="32"/>
        <w:szCs w:val="32"/>
      </w:rPr>
      <w:t>1.2020</w:t>
    </w:r>
    <w:r w:rsidR="00932C36" w:rsidRPr="008C41EC">
      <w:rPr>
        <w:rFonts w:ascii="Century Gothic" w:eastAsia="Cambria" w:hAnsi="Century Gothic" w:cs="Cambria"/>
        <w:color w:val="auto"/>
        <w:sz w:val="32"/>
        <w:szCs w:val="32"/>
      </w:rPr>
      <w:t xml:space="preserve"> </w:t>
    </w:r>
  </w:p>
  <w:p w:rsidR="00867002" w:rsidRDefault="0086700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254"/>
    <w:multiLevelType w:val="hybridMultilevel"/>
    <w:tmpl w:val="8460BB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795"/>
    <w:multiLevelType w:val="hybridMultilevel"/>
    <w:tmpl w:val="3ABA6E0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5E4EDC"/>
    <w:multiLevelType w:val="hybridMultilevel"/>
    <w:tmpl w:val="16C87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54AD4"/>
    <w:multiLevelType w:val="hybridMultilevel"/>
    <w:tmpl w:val="7DBCF500"/>
    <w:lvl w:ilvl="0" w:tplc="EB9659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AF7"/>
    <w:multiLevelType w:val="multilevel"/>
    <w:tmpl w:val="391688A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74CD1AC5"/>
    <w:multiLevelType w:val="hybridMultilevel"/>
    <w:tmpl w:val="C6DA51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002"/>
    <w:rsid w:val="00046CE5"/>
    <w:rsid w:val="00065C07"/>
    <w:rsid w:val="000706BA"/>
    <w:rsid w:val="000D66DC"/>
    <w:rsid w:val="000F3281"/>
    <w:rsid w:val="001160CB"/>
    <w:rsid w:val="001164EC"/>
    <w:rsid w:val="001648D6"/>
    <w:rsid w:val="00172502"/>
    <w:rsid w:val="001C1F00"/>
    <w:rsid w:val="001C79C8"/>
    <w:rsid w:val="0020061B"/>
    <w:rsid w:val="002263CF"/>
    <w:rsid w:val="00281683"/>
    <w:rsid w:val="00287D27"/>
    <w:rsid w:val="00294AA8"/>
    <w:rsid w:val="002C5095"/>
    <w:rsid w:val="002D04BA"/>
    <w:rsid w:val="002E5A25"/>
    <w:rsid w:val="002F292C"/>
    <w:rsid w:val="0030260E"/>
    <w:rsid w:val="00354C11"/>
    <w:rsid w:val="003A736C"/>
    <w:rsid w:val="003A7D42"/>
    <w:rsid w:val="003C69D3"/>
    <w:rsid w:val="003F1C34"/>
    <w:rsid w:val="00431A8D"/>
    <w:rsid w:val="00452335"/>
    <w:rsid w:val="004D2CFD"/>
    <w:rsid w:val="004F12D7"/>
    <w:rsid w:val="0050782B"/>
    <w:rsid w:val="0058297F"/>
    <w:rsid w:val="00596DE3"/>
    <w:rsid w:val="005A775E"/>
    <w:rsid w:val="005C43F1"/>
    <w:rsid w:val="005F0838"/>
    <w:rsid w:val="00623605"/>
    <w:rsid w:val="00653390"/>
    <w:rsid w:val="00682841"/>
    <w:rsid w:val="006C2CCD"/>
    <w:rsid w:val="006D4DB2"/>
    <w:rsid w:val="006F09D8"/>
    <w:rsid w:val="007517FB"/>
    <w:rsid w:val="00765892"/>
    <w:rsid w:val="00787C40"/>
    <w:rsid w:val="007F28C4"/>
    <w:rsid w:val="007F3A91"/>
    <w:rsid w:val="008316C6"/>
    <w:rsid w:val="0085773B"/>
    <w:rsid w:val="00867002"/>
    <w:rsid w:val="00885E3E"/>
    <w:rsid w:val="00892E50"/>
    <w:rsid w:val="008C41EC"/>
    <w:rsid w:val="008D1BA7"/>
    <w:rsid w:val="008D6D96"/>
    <w:rsid w:val="00904F00"/>
    <w:rsid w:val="00932C36"/>
    <w:rsid w:val="009A1695"/>
    <w:rsid w:val="009A3922"/>
    <w:rsid w:val="009E2033"/>
    <w:rsid w:val="009F1A34"/>
    <w:rsid w:val="00A17214"/>
    <w:rsid w:val="00A30FDB"/>
    <w:rsid w:val="00A50030"/>
    <w:rsid w:val="00A70C98"/>
    <w:rsid w:val="00A84DF6"/>
    <w:rsid w:val="00A90D7C"/>
    <w:rsid w:val="00A923AA"/>
    <w:rsid w:val="00B829E7"/>
    <w:rsid w:val="00B91061"/>
    <w:rsid w:val="00BC7A62"/>
    <w:rsid w:val="00C10E8A"/>
    <w:rsid w:val="00C50534"/>
    <w:rsid w:val="00C53C52"/>
    <w:rsid w:val="00CD1FE5"/>
    <w:rsid w:val="00CD707C"/>
    <w:rsid w:val="00CD7C18"/>
    <w:rsid w:val="00CF7384"/>
    <w:rsid w:val="00D2339B"/>
    <w:rsid w:val="00D414E5"/>
    <w:rsid w:val="00D66A12"/>
    <w:rsid w:val="00D9069B"/>
    <w:rsid w:val="00DE6E78"/>
    <w:rsid w:val="00E02C8C"/>
    <w:rsid w:val="00E06CD1"/>
    <w:rsid w:val="00E11EC2"/>
    <w:rsid w:val="00E21E0C"/>
    <w:rsid w:val="00E31303"/>
    <w:rsid w:val="00E82F6D"/>
    <w:rsid w:val="00EA2F49"/>
    <w:rsid w:val="00EB32BD"/>
    <w:rsid w:val="00EC32A0"/>
    <w:rsid w:val="00F51F2F"/>
    <w:rsid w:val="00F6766E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006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61B"/>
  </w:style>
  <w:style w:type="paragraph" w:styleId="Fuzeile">
    <w:name w:val="footer"/>
    <w:basedOn w:val="Standard"/>
    <w:link w:val="FuzeileZchn"/>
    <w:uiPriority w:val="99"/>
    <w:unhideWhenUsed/>
    <w:rsid w:val="002006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D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0D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41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65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006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61B"/>
  </w:style>
  <w:style w:type="paragraph" w:styleId="Fuzeile">
    <w:name w:val="footer"/>
    <w:basedOn w:val="Standard"/>
    <w:link w:val="FuzeileZchn"/>
    <w:uiPriority w:val="99"/>
    <w:unhideWhenUsed/>
    <w:rsid w:val="002006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D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0D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41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65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Fühlingen-Chorweiler 1929/77 e.V.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Jupp</dc:creator>
  <cp:lastModifiedBy>Jupp</cp:lastModifiedBy>
  <cp:revision>8</cp:revision>
  <cp:lastPrinted>2019-12-31T11:05:00Z</cp:lastPrinted>
  <dcterms:created xsi:type="dcterms:W3CDTF">2019-11-05T16:10:00Z</dcterms:created>
  <dcterms:modified xsi:type="dcterms:W3CDTF">2019-12-31T11:05:00Z</dcterms:modified>
</cp:coreProperties>
</file>